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8929E1">
        <w:rPr>
          <w:rFonts w:ascii="MetaPro-Bold" w:hAnsi="MetaPro-Bold"/>
          <w:sz w:val="24"/>
          <w:szCs w:val="18"/>
        </w:rPr>
        <w:t xml:space="preserve">9a Professionelle Profilbildung I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9B3A10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10" w:rsidRDefault="009B3A10" w:rsidP="00B963F9">
      <w:pPr>
        <w:spacing w:after="0" w:line="240" w:lineRule="auto"/>
      </w:pPr>
      <w:r>
        <w:separator/>
      </w:r>
    </w:p>
  </w:endnote>
  <w:endnote w:type="continuationSeparator" w:id="0">
    <w:p w:rsidR="009B3A10" w:rsidRDefault="009B3A10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10" w:rsidRDefault="009B3A10" w:rsidP="00B963F9">
      <w:pPr>
        <w:spacing w:after="0" w:line="240" w:lineRule="auto"/>
      </w:pPr>
      <w:r>
        <w:separator/>
      </w:r>
    </w:p>
  </w:footnote>
  <w:footnote w:type="continuationSeparator" w:id="0">
    <w:p w:rsidR="009B3A10" w:rsidRDefault="009B3A10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oY0By2wBkqGoCKJ5CNe60sMGxW59XUrdGc53CXRxtDNhkomuQVx2Iz/z88JmFmiBGsS0VPN1suGnQbeao+Cyyg==" w:salt="5firBBDfAYdXEoQC1Fab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0F4175"/>
    <w:rsid w:val="0013662B"/>
    <w:rsid w:val="00146F6D"/>
    <w:rsid w:val="0015154B"/>
    <w:rsid w:val="001C2032"/>
    <w:rsid w:val="00226A25"/>
    <w:rsid w:val="002403BB"/>
    <w:rsid w:val="002F38E6"/>
    <w:rsid w:val="00342773"/>
    <w:rsid w:val="005333BA"/>
    <w:rsid w:val="005444D2"/>
    <w:rsid w:val="005D0515"/>
    <w:rsid w:val="00652C21"/>
    <w:rsid w:val="00714CE2"/>
    <w:rsid w:val="007D4E13"/>
    <w:rsid w:val="00826A9C"/>
    <w:rsid w:val="008929E1"/>
    <w:rsid w:val="009067CF"/>
    <w:rsid w:val="009B3A10"/>
    <w:rsid w:val="00A57147"/>
    <w:rsid w:val="00B24B03"/>
    <w:rsid w:val="00B516A0"/>
    <w:rsid w:val="00B963F9"/>
    <w:rsid w:val="00C0161F"/>
    <w:rsid w:val="00C71ABB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AFAC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3D3805"/>
    <w:rsid w:val="005477FB"/>
    <w:rsid w:val="006053DA"/>
    <w:rsid w:val="0063112E"/>
    <w:rsid w:val="0065012F"/>
    <w:rsid w:val="00B21BA0"/>
    <w:rsid w:val="00B42F3A"/>
    <w:rsid w:val="00D40CCF"/>
    <w:rsid w:val="00F5331A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9010-A2BA-49F5-B606-24366058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2022-04-27T18:01:00Z</dcterms:created>
  <dcterms:modified xsi:type="dcterms:W3CDTF">2022-04-27T18:01:00Z</dcterms:modified>
</cp:coreProperties>
</file>